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NW_33180 (Nordrhein-Westfalen) — Zweck des Gesetzes</w:t>
      </w:r>
    </w:p>
    <w:p>
      <w:r>
        <w:rPr>
          <w:color w:val="555555"/>
          <w:sz w:val="18"/>
        </w:rPr>
        <w:t xml:space="preserve">Gesetz zur Neufassung des Klimaschutzgesetzes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Zweck dieses Gesetzes ist es, Klimaschutzziele für das Land Nordrhein-Westfalen festzulegen und die Erfüllung dieser Ziele zu gewährleisten und damit einen Beitrag zur Einhaltung der nationalen Klimaschutzziele sowie der europäischen Zielvorgaben zu erbringen. Grundlage bildet die Verpflichtung nach dem Übereinkommen von Paris (BGBl. 2016 II S.1082, 1083) aufgrund der Klimarahmenkonvention der Vereinten Nationen (BGBl. 1993 II S. 1784-1812), wonach der Anstieg der globalen Durchschnittstemperatur auf deutlich unter 2 Grad Celsius und möglichst auf 1,5 Grad Celsius gegenüber dem vorindustriellen Niveau zu begrenzen ist, um die Auswirkungen des weltweiten Klimawandels so gering wie möglich zu halten.</w:t>
      </w:r>
    </w:p>
    <w:p>
      <w:r>
        <w:t xml:space="preserve">(2) Das Land Nordrhein-Westfalen versteht Klimaschutz auch als Innovationstreiber. Investitionen in den Klimaschutz unterstützen die Modernisierung des Wirtschaftsstandortes und tragen zu Innovationen, zu mehr Lebensqualität und zur Steigerung von Wettbewerbsfähigkeit und Beschäftigung bei.</w:t>
      </w:r>
    </w:p>
    <w:p>
      <w:r>
        <w:rPr>
          <w:color w:val="555555"/>
          <w:sz w:val="17"/>
        </w:rPr>
        <w:t xml:space="preserve">Zitiervorschlag: § 1 NW_33180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https://recht.nulegal.eu/gesetze/NW_33180/1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