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NW_33173 (Nordrhein-Westfalen)</w:t>
      </w:r>
    </w:p>
    <w:p>
      <w:r>
        <w:rPr>
          <w:color w:val="555555"/>
          <w:sz w:val="18"/>
        </w:rPr>
        <w:t xml:space="preserve">GEG-ZustVO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 über Zuständigkeiten nach dem Gebäudeenergiegesetz</w:t>
      </w:r>
    </w:p>
    <w:p>
      <w:r>
        <w:t xml:space="preserve">(GEG-ZustVO)</w:t>
      </w:r>
    </w:p>
    <w:p>
      <w:r>
        <w:t xml:space="preserve">Vom 23. Juni 2021</w:t>
      </w:r>
    </w:p>
    <w:p>
      <w:r>
        <w:t xml:space="preserve">(Artikel 2 des Gesetzes über Zuständigkeiten und zur Umsetzung des vereinheitlichten Energieeinsparrechts</w:t>
      </w:r>
    </w:p>
    <w:p>
      <w:r>
        <w:t xml:space="preserve">für Gebäude (GEG-Umsetzungsgesetz - GEG-UG NRW) vom 23. Juni 2021 (GV. NRW. S. 782))</w:t>
      </w:r>
    </w:p>
    <w:p>
      <w:r>
        <w:t xml:space="preserve">Auf Grund der §§ 94, 101 Absatz 1 bis 3 des Gebäudeenergiegesetzes vom 8. August 2020 (BGBl. I S. 1728) und des § 36 Absatz 2 des Gesetzes über Ordnungswidrigkeiten in der Fassung der Bekanntmachung vom 19. Februar 1987 (BGBl. I S. 602) verordnet die Landesregierung:</w:t>
      </w:r>
    </w:p>
    <w:p>
      <w:r>
        <w:rPr>
          <w:color w:val="555555"/>
          <w:sz w:val="17"/>
        </w:rPr>
        <w:t xml:space="preserve">Zitiervorschlag: Volltext NW_33173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https://recht.nulegal.eu/gesetze/NW_33173/volltext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