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NW_33131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der Finanzen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Bau- und Liegenschaftsbetrieb NRW werden die Befugnisse übertragen, im Rahmen seiner ihm durch das Bau- und Liegenschaftsbetriebsgesetz vom 12. Dezember 2000 (GV. NRW. S. 754), das zuletzt durch das Gesetz vom 16. März 2010 (GV. NRW. S. 184) geändert worden ist, eingeräumten eigenen Haushalts- und Wirtschaftsführung selbst</w:t>
      </w:r>
    </w:p>
    <w:p>
      <w:r>
        <w:t xml:space="preserve">1. von ihm geschlossene Verträge gemäß § 58 Absatz 1 Satz 1 Nummer 1 der Landeshaushaltsordnung zum Nachteil des Landes aufzuheben oder zu ändern,</w:t>
      </w:r>
    </w:p>
    <w:p>
      <w:r>
        <w:t xml:space="preserve">2. Vergleiche gemäß § 58 Absatz 1 Satz 1 Nummer 2 der Landeshaushaltsordnung abzuschließen</w:t>
      </w:r>
    </w:p>
    <w:p>
      <w:r>
        <w:t xml:space="preserve">a) für Vorhaben im Zusammenhang mit Grundstücken (Bauvorhaben), soweit die dem Bau- und Liegenschaftsbetrieb NRW durch Vergleiche insgesamt entstehenden Mehrausgaben oder Mindereinnahmen 10 Prozent der Gesamtsumme aller bezüglich des Bauvorhabens abgeschlossener Verträge nicht überschreiten oder im Falle des Überschreitens dieser 10-Prozent-Grenze unter 500 000 Euro liegen;</w:t>
      </w:r>
    </w:p>
    <w:p>
      <w:r>
        <w:t xml:space="preserve">b) in allen anderen Fällen mit Ausnahme von Ansprüchen aus Mietverhältnissen, soweit ein Gesamtbetrag in Höhe von 500 000 Euro im Einzelfall nicht überschritten wird.</w:t>
      </w:r>
    </w:p>
    <w:p>
      <w:r>
        <w:t xml:space="preserve">Bei Ansprüchen aus Mietverhältnissen wird dem Bau- und Liegenschaftsbetrieb NRW die Befugnis, Vergleiche gemäß § 58 Absatz 1 Satz 1 Nummer 2 der Landeshaushaltsordnung abzuschließen, uneingeschränkt übertragen.</w:t>
      </w:r>
    </w:p>
    <w:p>
      <w:r>
        <w:t xml:space="preserve">3. Ansprüche gemäß § 59 Absatz 1 Satz 1 Nummer 1 der Landeshaushaltsordnung mit einer Stundungsdauer bis zu drei Jahren zu stunden,</w:t>
      </w:r>
    </w:p>
    <w:p>
      <w:r>
        <w:t xml:space="preserve">4. Ansprüche gemäß § 59 Absatz 1 Satz 1 Nummer 2 der Landeshaushaltsordnung niederzuschlagen und</w:t>
      </w:r>
    </w:p>
    <w:p>
      <w:r>
        <w:t xml:space="preserve">5. Ansprüche gemäß § 59 Absatz 1 Satz 1 Nummer 3 der Landeshaushaltsordnung bei Beträgen bis zu 50 000 Euro zu erlassen.</w:t>
      </w:r>
    </w:p>
    <w:p>
      <w:r>
        <w:t xml:space="preserve">In diesen Fällen ist eine Einwilligung des für Finanzen zuständigen Ministeriums nicht erforderlich.</w:t>
      </w:r>
    </w:p>
    <w:p>
      <w:r>
        <w:rPr>
          <w:color w:val="555555"/>
          <w:sz w:val="17"/>
        </w:rPr>
        <w:t xml:space="preserve">Zitiervorschlag: § 6 NW_33131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https://recht.nulegal.eu/gesetze/NW_33131/6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