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NW_33131 (Nordrhein-Westfalen)</w:t>
      </w:r>
    </w:p>
    <w:p>
      <w:r>
        <w:rPr>
          <w:color w:val="555555"/>
          <w:sz w:val="18"/>
        </w:rPr>
        <w:t xml:space="preserve">Verordnung zur Übertragung von Befugnissen nach den §§ 57 bis 59 der Landeshaushaltsordnung im Geschäftsbereich des Ministeriums der Finanzen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Den Landesober- und Landesmittelbehörden sowie den Einrichtungen im Geschäftsbereich des Ministeriums der Finanzen werden die Befugnisse übertragen,</w:t>
      </w:r>
    </w:p>
    <w:p>
      <w:r>
        <w:t xml:space="preserve">1. Verträge gemäß § 58 Absatz 1 Satz 1 Nummer 1 der Landeshaushaltsordnung zum Nachteil des Landes aufzuheben oder zu ändern, soweit der Nachteil des Landes einmalig nicht mehr als 100 000 Euro und bei fortdauernden Leistungen nicht mehr als 50 000 Euro pro Jahr beträgt und</w:t>
      </w:r>
    </w:p>
    <w:p>
      <w:r>
        <w:t xml:space="preserve">2. Vergleiche gemäß § 58 Absatz 1 Satz 1 Nummer 2 der Landeshaushaltsordnung abzuschließen oder die Zustimmung zu gerichtlichen oder außergerichtlichen Schuldenbereinigungen nach Teil 9 der Insolvenzordnung vom 5. Oktober 1994 (BGBl. I S. 2866), die zuletzt durch Artikel 6 des Gesetzes vom 22. Dezember 2020 (GVBl. I S. 3328) geändert worden ist, zu erteilen, soweit ihnen entsprechende Ausgabemittel zur Verfügung stehen und ein Gesamtbetrag von 500 000 Euro im Einzelfall nicht überschritten wird.</w:t>
      </w:r>
    </w:p>
    <w:p>
      <w:r>
        <w:rPr>
          <w:color w:val="555555"/>
          <w:sz w:val="17"/>
        </w:rPr>
        <w:t xml:space="preserve">Zitiervorschlag: § 2 NW_33131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https://recht.nulegal.eu/gesetze/NW_33131/2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