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NW_33115 (Nordrhein-Westfalen)</w:t>
      </w:r>
    </w:p>
    <w:p>
      <w:r>
        <w:rPr>
          <w:color w:val="555555"/>
          <w:sz w:val="18"/>
        </w:rPr>
        <w:t xml:space="preserve">MB-Satzung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19. März 2021</w:t>
      </w:r>
    </w:p>
    <w:p>
      <w:r>
        <w:t xml:space="preserve">Aufgrund von §§ 84 Abs. 8, 88 Medienstaatsvertrag (MStV) vom 14. bis 28. April 2020 (GV. NRW. S. 524) erlässt die Landesanstalt für Medien Nordrhein-Westfalen (LfM) übereinstimmend mit den übrigen Landesmedienanstalten die folgende Satzung:</w:t>
      </w:r>
    </w:p>
    <w:p>
      <w:r>
        <w:rPr>
          <w:color w:val="555555"/>
          <w:sz w:val="17"/>
        </w:rPr>
        <w:t xml:space="preserve">Zitiervorschlag: Volltext NW_33115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https://recht.nulegal.eu/gesetze/NW_33115/volltext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