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NW_33049 (Nordrhein-Westfalen)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 über die Schlichtungsstelle</w:t>
      </w:r>
    </w:p>
    <w:p>
      <w:r>
        <w:t xml:space="preserve">gemäß § 99 Medienstaatsvertrag</w:t>
      </w:r>
    </w:p>
    <w:p>
      <w:r>
        <w:t xml:space="preserve">Vom 19. Februar 2021</w:t>
      </w:r>
    </w:p>
    <w:p>
      <w:r>
        <w:t xml:space="preserve">Aufgrund von § 99 Abs. 2 Medienstaatsvertrag (MStV) vom 14. bis 28. April 2020 (GV. NRW. S. 524) erlässt die Landesanstalt für Medien Nordrhein-Westfalen (LfM) übereinstimmend mit den übrigen Landesmedienanstalten folgende Satzung:</w:t>
      </w:r>
    </w:p>
    <w:p>
      <w:r>
        <w:t xml:space="preserve">1. Abschnitt: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