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NW_33049 (Nordrhein-Westfalen) — Antragserwiderung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Schlichtungsstelle übermittelt dem Antragsgegner, außer in den Fällen des § 11 Abs. 1, den vollständigen Antrag und fordert ihn in Textform auf, innerhalb einer angemessenen Frist nach Zugang des Schreibens hierauf in Textform zu erwidern. Die Frist kann auf Antrag verlängert werden.</w:t>
      </w:r>
    </w:p>
    <w:p>
      <w:r>
        <w:t xml:space="preserve">(2) Die Erwiderung des Antragsgegners soll eine alle Tatsachen umfassende Darstellung seiner Auffassung hinsichtlich des Begehrens des Antragstellers enthalten.</w:t>
      </w:r>
    </w:p>
    <w:p>
      <w:r>
        <w:t xml:space="preserve">(3) Erfolgt die Antragserwiderung nicht fristgerecht, gilt die Zustimmung zur Schlichtung als verweigert. Ein Schlichtungsverfahren wird in diesem Fall nicht durchgeführt.</w:t>
      </w:r>
    </w:p>
    <w:p>
      <w:r>
        <w:rPr>
          <w:color w:val="555555"/>
          <w:sz w:val="17"/>
        </w:rPr>
        <w:t xml:space="preserve">Zitiervorschlag: § 9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