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NW_33049 (Nordrhein-Westfalen) — Begriffsbestimmungen</w:t>
      </w:r>
    </w:p>
    <w:p>
      <w:r>
        <w:rPr>
          <w:color w:val="555555"/>
          <w:sz w:val="18"/>
        </w:rPr>
        <w:t xml:space="preserve">Satzung über die Schlichtungsstelle gemäß § 99 Medienstaatsvertrag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Sinne dieser Satzung ist</w:t>
      </w:r>
    </w:p>
    <w:p>
      <w:r>
        <w:t xml:space="preserve">1. Video-Sharing-Dienst ein Telemedium im Sinne von § 2 Abs. 2 Nr. 22 Medienstaatsvertrag;</w:t>
      </w:r>
    </w:p>
    <w:p>
      <w:r>
        <w:t xml:space="preserve">2. Anbieter von Video-Sharing-Diensten Diensteanbieter im Sinne von § 2 Abs. 2 Nr. 23 Medienstaatsvertrag.</w:t>
      </w:r>
    </w:p>
    <w:p>
      <w:r>
        <w:rPr>
          <w:color w:val="555555"/>
          <w:sz w:val="17"/>
        </w:rPr>
        <w:t xml:space="preserve">Zitiervorschlag: § 3 NW_33049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https://recht.nulegal.eu/gesetze/NW_33049/3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