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NW_33049 (Nordrhein-Westfalen) — Form des Verfahrensabschlusses</w:t>
      </w:r>
    </w:p>
    <w:p>
      <w:r>
        <w:rPr>
          <w:color w:val="555555"/>
          <w:sz w:val="18"/>
        </w:rPr>
        <w:t xml:space="preserve">Satzung über die Schlichtungsstelle gemäß § 99 Medienstaatsvertrag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Schlichtungsstelle übermittelt den Beteiligten das Ergebnis des Schlichtungsverfahrens. Mit dieser Mitteilung ist das Schlichtungsverfahren beendet.</w:t>
      </w:r>
    </w:p>
    <w:p>
      <w:r>
        <w:t xml:space="preserve">4. Abschnitt:</w:t>
      </w:r>
    </w:p>
    <w:p>
      <w:r>
        <w:t xml:space="preserve">Kosten</w:t>
      </w:r>
    </w:p>
    <w:p>
      <w:r>
        <w:rPr>
          <w:color w:val="555555"/>
          <w:sz w:val="17"/>
        </w:rPr>
        <w:t xml:space="preserve">Zitiervorschlag: § 18 NW_33049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https://recht.nulegal.eu/gesetze/NW_33049/18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