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NW_33049 (Nordrhein-Westfalen) — Unterrichtung der Beteiligten</w:t>
      </w:r>
    </w:p>
    <w:p>
      <w:r>
        <w:rPr>
          <w:color w:val="555555"/>
          <w:sz w:val="18"/>
        </w:rPr>
        <w:t xml:space="preserve">Satzung über die Schlichtungsstelle gemäß § 99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Schlichtungsstelle unterrichtet die Beteiligten unverzüglich nach Eingang des Antrags auf Durchführung eines Schlichtungsverfahrens über Folgendes:</w:t>
      </w:r>
    </w:p>
    <w:p>
      <w:r>
        <w:t xml:space="preserve">1. dass das Verfahren nach dieser Satzung durchgeführt wird und dass deren Wortlaut auf den Webseiten der Medienanstalten öffentlich zugänglich verfügbar ist,</w:t>
      </w:r>
    </w:p>
    <w:p>
      <w:r>
        <w:t xml:space="preserve">2. dass die Beteiligten mit der Teilnahme am Schlichtungsverfahren dieser Satzung zustimmen,</w:t>
      </w:r>
    </w:p>
    <w:p>
      <w:r>
        <w:t xml:space="preserve">3. dass das Ergebnis des Schlichtungsverfahrens von dem Ergebnis eines gerichtlichen Verfahrens abweichen kann,</w:t>
      </w:r>
    </w:p>
    <w:p>
      <w:r>
        <w:t xml:space="preserve">4. über die Möglichkeit einer Beendigung des Schlichtungsverfahrens nach § 15,</w:t>
      </w:r>
    </w:p>
    <w:p>
      <w:r>
        <w:t xml:space="preserve">5. über die Kosten des Verfahrens nach § 19 und</w:t>
      </w:r>
    </w:p>
    <w:p>
      <w:r>
        <w:t xml:space="preserve">6. über den Umfang der Verschwiegenheitspflicht aller in die Durchführung des Schlichtungsverfahrens eingebundenen Personen.</w:t>
      </w:r>
    </w:p>
    <w:p>
      <w:r>
        <w:t xml:space="preserve">2. Unterabschnitt:</w:t>
      </w:r>
    </w:p>
    <w:p>
      <w:r>
        <w:t xml:space="preserve">Durchführung des Schlichtungsverfahrens</w:t>
      </w:r>
    </w:p>
    <w:p>
      <w:r>
        <w:rPr>
          <w:color w:val="555555"/>
          <w:sz w:val="17"/>
        </w:rPr>
        <w:t xml:space="preserve">Zitiervorschlag: § 11 NW_33049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https://recht.nulegal.eu/gesetze/NW_33049/11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