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NW_33049 (Nordrhein-Westfalen) — Zweck, Zielsetzung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Zweck dieser Satzung ist die Regelung von Einzelheiten über die Organisation und das Verfahren der Schlichtungsstelle gemäß § 99 Medienstaatsvertrag.</w:t>
      </w:r>
    </w:p>
    <w:p>
      <w:r>
        <w:t xml:space="preserve">(2) Ziel ist es, eine unparteiische, faire, außergerichtliche und zügige gütliche Einigung im Falle von Streitigkeiten im Sinne des § 2 zu erzielen.</w:t>
      </w:r>
    </w:p>
    <w:p>
      <w:r>
        <w:t xml:space="preserve">(3) Das Schlichtungsverfahren lässt die gesetzlichen Rechte der Nutzer unberührt.</w:t>
      </w:r>
    </w:p>
    <w:p>
      <w:r>
        <w:rPr>
          <w:color w:val="555555"/>
          <w:sz w:val="17"/>
        </w:rPr>
        <w:t xml:space="preserve">Zitiervorschlag: § 1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