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NW_33048 (Nordrhein-Westfalen) — Entscheidung über die Zulassung</w:t>
      </w:r>
    </w:p>
    <w:p>
      <w:r>
        <w:rPr>
          <w:color w:val="555555"/>
          <w:sz w:val="18"/>
        </w:rPr>
        <w:t xml:space="preserve">Prüfungsordnung der Bezirksregierung Köln für die Durchführung von Abschluss-, Umschulungs- und Zwischenprüfungen in dem Ausbildungsberuf Fachangestellter/ Fachangestellte für Medien- und Informationsdienste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Zulassung zur Abschluss- und Umschulungsprüfung entscheidet die zuständige Stelle. Hält sie die Zulassungsvoraussetzungen nicht für gegeben, so entscheidet der Prüfungsausschuss gemäß § 46 Absatz 1 Berufsbildungsgesetz und § 62 Absatz 3 Berufsbildungsgesetz.</w:t>
      </w:r>
    </w:p>
    <w:p>
      <w:r>
        <w:t xml:space="preserve">(2) Sofern eine Umschulungsordnung gemäß § 58 Berufsbildungsgesetz oder eine Umschulungsprüfungsregelung gemäß § 59 Berufsbildungsgesetz der zuständigen Stelle Zulassungsvoraussetzungen vorsieht, sind ausländische Bildungsabschlüsse und Zeiten der Berufstätigkeit im Ausland gemäß § 61 Berufsbildungsgesetz zu berücksichtigen.</w:t>
      </w:r>
    </w:p>
    <w:p>
      <w:r>
        <w:t xml:space="preserve">(3) Die Entscheidung über die Zulassung ist den Prüfungsbewerbern rechtzeitig unter Angabe des Prüfungstages und -ortes einschließlich der erlaubten Arbeits- und Hilfsmittel schriftlich mitzuteilen. Die Entscheidung über die Nichtzulassung ist den Prüfungsbewerbern schriftlich mit Begründung bekannt zu geben.</w:t>
      </w:r>
    </w:p>
    <w:p>
      <w:r>
        <w:t xml:space="preserve">(4) Die Zulassung kann von der zuständigen Stelle im Einvernehmen mit dem Prüfungsausschuss bis zur Bekanntgabe des Prüfungsergebnisses widerrufen werden, wenn sie aufgrund von gefälschten Unterlagen oder falschen Angaben ausgesprochen wurde.</w:t>
      </w:r>
    </w:p>
    <w:p>
      <w:r>
        <w:t xml:space="preserve">Abschnitt 3</w:t>
      </w:r>
    </w:p>
    <w:p>
      <w:r>
        <w:t xml:space="preserve">Durchführung der Prüfung</w:t>
      </w:r>
    </w:p>
    <w:p>
      <w:r>
        <w:rPr>
          <w:color w:val="555555"/>
          <w:sz w:val="17"/>
        </w:rPr>
        <w:t xml:space="preserve">Zitiervorschlag: § 13 NW_33048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