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8 NW_32997 (Nordrhein-Westfalen) — Kostenentscheidung, Rechtsbehelf</w:t>
      </w:r>
    </w:p>
    <w:p>
      <w:r>
        <w:rPr>
          <w:color w:val="555555"/>
          <w:sz w:val="18"/>
        </w:rPr>
        <w:t xml:space="preserve">Kostensatzung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Die Kostenentscheidung ist von Amts wegen nachzuholen, wenn sie bei der Vornahme der kostenpflichtigen Amtshandlung unterblieben ist.</w:t>
      </w:r>
    </w:p>
    <w:p>
      <w:r>
        <w:t xml:space="preserve">(2) Fehlerhafte Kostenentscheidungen können von Amts wegen von der zuständigen Landesmedienanstalt geändert werden.</w:t>
      </w:r>
    </w:p>
    <w:p>
      <w:r>
        <w:t xml:space="preserve">(3) Die Kostenentscheidung kann zusammen mit dem Verwaltungsakt oder selbständig nach Maßgabe der Vorschriften über die Verwaltungsgerichtsbarkeit angefochten werden.</w:t>
      </w:r>
    </w:p>
    <w:p>
      <w:r>
        <w:rPr>
          <w:color w:val="555555"/>
          <w:sz w:val="17"/>
        </w:rPr>
        <w:t xml:space="preserve">Zitiervorschlag: § 8 NW_32997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https://recht.nulegal.eu/gesetze/NW_32997/8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