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NW_32997 (Nordrhein-Westfalen) — Mehrere Amtshandlungen</w:t>
      </w:r>
    </w:p>
    <w:p>
      <w:r>
        <w:rPr>
          <w:color w:val="555555"/>
          <w:sz w:val="18"/>
        </w:rPr>
        <w:t xml:space="preserve">Kostensatzung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Gebühr wird für jede Amtshandlung erhoben, auch wenn diese mit anderen zusammen vorgenommen wird; sie wird ohne Rücksicht auf die Zahl der beteiligten Personen nur einmal erhoben.</w:t>
      </w:r>
    </w:p>
    <w:p>
      <w:r>
        <w:t xml:space="preserve">(2) Mehrere Amtshandlungen innerhalb eines Verfahrens können durch eine Gebühr abgegolten werden, wenn keine dieser Amtshandlungen im Gebührenverzeichnis oder in einer anderen Vorschrift bewertet ist.</w:t>
      </w:r>
    </w:p>
    <w:p>
      <w:r>
        <w:rPr>
          <w:color w:val="555555"/>
          <w:sz w:val="17"/>
        </w:rPr>
        <w:t xml:space="preserve">Zitiervorschlag: § 3 NW_32997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https://recht.nulegal.eu/gesetze/NW_32997/3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