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NW_32997 (Nordrhein-Westfalen) — Zahlungsverjährung</w:t>
      </w:r>
    </w:p>
    <w:p>
      <w:r>
        <w:rPr>
          <w:color w:val="555555"/>
          <w:sz w:val="18"/>
        </w:rPr>
        <w:t xml:space="preserve">Kostensatzung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Ein festgesetzter Kostenanspruch erlischt durch Verjährung (Zahlungsverjährung). Die Verjährungsfrist beträgt fünf Jahre; sie beginnt mit Ablauf des Kalenderjahres, in dem der Anspruch erstmals fällig geworden ist.</w:t>
      </w:r>
    </w:p>
    <w:p>
      <w:r>
        <w:t xml:space="preserve">(2) Die Zahlungsverjährung ist gehemmt, solange der Anspruch wegen höherer Gewalt innerhalb der letzten sechs Monate der Verjährungsfrist nicht verfolgt werden kann.</w:t>
      </w:r>
    </w:p>
    <w:p>
      <w:r>
        <w:t xml:space="preserve">(3) Die Zahlungsverjährung wird unterbrochen durch</w:t>
      </w:r>
    </w:p>
    <w:p>
      <w:r>
        <w:t xml:space="preserve">1. schriftliche Geltendmachung des Anspruchs;</w:t>
      </w:r>
    </w:p>
    <w:p>
      <w:r>
        <w:t xml:space="preserve">2. Stundung;</w:t>
      </w:r>
    </w:p>
    <w:p>
      <w:r>
        <w:t xml:space="preserve">3. Sicherheitsleistung;</w:t>
      </w:r>
    </w:p>
    <w:p>
      <w:r>
        <w:t xml:space="preserve">4. Aussetzung der Vollziehung;</w:t>
      </w:r>
    </w:p>
    <w:p>
      <w:r>
        <w:t xml:space="preserve">5. eine Vollstreckungsmaßnahme;</w:t>
      </w:r>
    </w:p>
    <w:p>
      <w:r>
        <w:t xml:space="preserve">6. Anmeldung im Konkurs;</w:t>
      </w:r>
    </w:p>
    <w:p>
      <w:r>
        <w:t xml:space="preserve">7. Ermittlungen der Landesmedienanstalt nach dem Wohnsitz oder dem Aufenthaltsort des Kostenschuldners.</w:t>
      </w:r>
    </w:p>
    <w:p>
      <w:r>
        <w:t xml:space="preserve">(4) Die Unterbrechung gemäß Absatz 3 dauert fort, bis</w:t>
      </w:r>
    </w:p>
    <w:p>
      <w:r>
        <w:t xml:space="preserve">1. bei schriftlicher Geltendmachung des Anspruchs der Leistungsbescheid bestandskräftig geworden ist;</w:t>
      </w:r>
    </w:p>
    <w:p>
      <w:r>
        <w:t xml:space="preserve">2. bei Stundung oder Aussetzung der Vollziehung die Maßnahme abgelaufen ist;</w:t>
      </w:r>
    </w:p>
    <w:p>
      <w:r>
        <w:t xml:space="preserve">3. bei Sicherheitsleistung, Pfändungspfandrecht, Zwangshypothek oder einem sonstigen Vorzugsrecht auf Befriedigung das entsprechende Recht erloschen ist;</w:t>
      </w:r>
    </w:p>
    <w:p>
      <w:r>
        <w:t xml:space="preserve">4. das Konkursverfahren beendet ist.</w:t>
      </w:r>
    </w:p>
    <w:p>
      <w:r>
        <w:t xml:space="preserve">(5) Mit Ablauf des Kalenderjahres, in dem die Unterbrechung geendet hat, beginnt die Frist nach Absatz 1 erneut.</w:t>
      </w:r>
    </w:p>
    <w:p>
      <w:r>
        <w:t xml:space="preserve">(6) Die Frist nach Absatz 1 wird nur in Höhe des Betrags unterbrochen, auf den sich die Unterbrechungshandlung bezieht.</w:t>
      </w:r>
    </w:p>
    <w:p>
      <w:r>
        <w:t xml:space="preserve">(7) Für Erstattungsansprüche gilt Absatz 1 entsprechend.</w:t>
      </w:r>
    </w:p>
    <w:p>
      <w:r>
        <w:rPr>
          <w:color w:val="555555"/>
          <w:sz w:val="17"/>
        </w:rPr>
        <w:t xml:space="preserve">Zitiervorschlag: § 15 NW_32997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https://recht.nulegal.eu/gesetze/NW_32997/15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