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NW_32996 (Nordrhein-Westfalen) — Inkrafttreten</w:t>
      </w:r>
    </w:p>
    <w:p>
      <w:r>
        <w:rPr>
          <w:color w:val="555555"/>
          <w:sz w:val="18"/>
        </w:rPr>
        <w:t xml:space="preserve">JNeutG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Die Landesregierung berichtet dem Landtag bis zum 31. Dezember 2026 über die Erfahrungen mit diesem Gesetz.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des Innern</w:t>
      </w:r>
    </w:p>
    <w:p>
      <w:r>
        <w:t xml:space="preserve">Zugleich für den Minister der Finanzen</w:t>
      </w:r>
    </w:p>
    <w:p>
      <w:r>
        <w:t xml:space="preserve">Der Minister der Justiz</w:t>
      </w:r>
    </w:p>
    <w:p>
      <w:r>
        <w:rPr>
          <w:color w:val="555555"/>
          <w:sz w:val="17"/>
        </w:rPr>
        <w:t xml:space="preserve">Zitiervorschlag: § 4 NW_32996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https://recht.nulegal.eu/gesetze/NW_32996/4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