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NW_32892 (Nordrhein-Westfalen)</w:t>
      </w:r>
    </w:p>
    <w:p>
      <w:r>
        <w:rPr>
          <w:color w:val="555555"/>
          <w:sz w:val="18"/>
        </w:rPr>
        <w:t xml:space="preserve">Verordnung zur Bestimmung der für die Verfolgung und Ahndung von Ordnungswidrigkeiten nach dem Paßgesetz, dem Personalausweisgesetz und dem eID-Karte-Gesetz zuständigen Verwaltungsbehörden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und Ahndung von Ordnungswidrigkeiten nach § 32 Absatz 1 Nummer 1, 2, 3, 4, 5, 6 und 7 des Personalausweisgesetzes vom 18. Juni 2009 (BGBl. I S. 1346) in der jeweils geltenden Fassung wird den örtlichen Ordnungsbehörden als Personalausweisbehörden übertragen.</w:t>
      </w:r>
    </w:p>
    <w:p>
      <w:r>
        <w:rPr>
          <w:color w:val="555555"/>
          <w:sz w:val="17"/>
        </w:rPr>
        <w:t xml:space="preserve">Zitiervorschlag: § 2 NW_32892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https://recht.nulegal.eu/gesetze/NW_32892/2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