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NW_32858 (Nordrhein-Westfalen) — Spielersperren</w:t>
      </w:r>
    </w:p>
    <w:p>
      <w:r>
        <w:rPr>
          <w:color w:val="555555"/>
          <w:sz w:val="18"/>
        </w:rPr>
        <w:t xml:space="preserve">Spielordnung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Unter den Voraussetzungen des § 10 des Spielbankgesetzes NRW in Verbindung mit der Spielbankverordnung NRW [einsetzen: Ausfertigungsdatum und Fundstelle dieser Verordnung] können Spielerinnen und Spieler vom Spielbankbesuch gesperrt werden. Dabei kann es sich um Selbstsperren, Fremdsperren oder Störersperren handeln.</w:t>
      </w:r>
    </w:p>
    <w:p>
      <w:r>
        <w:rPr>
          <w:color w:val="555555"/>
          <w:sz w:val="17"/>
        </w:rPr>
        <w:t xml:space="preserve">Zitiervorschlag: § 3 NW_32858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https://recht.nulegal.eu/gesetze/NW_32858/3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