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NW_32834 (Nordrhein-Westfalen)</w:t>
      </w:r>
    </w:p>
    <w:p>
      <w:r>
        <w:rPr>
          <w:color w:val="555555"/>
          <w:sz w:val="18"/>
        </w:rPr>
        <w:t xml:space="preserve">Zulassungssatzung der Landesanstalt für Medien Nordrhein- Westfalen (LfM) - Zulassungssatzung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Oktober 2020</w:t>
      </w:r>
    </w:p>
    <w:p>
      <w:r>
        <w:t xml:space="preserve">Auf der Grundlage der § 4 Absatz 2 Satz 3, § 7 Absatz 4, § 9 Absatz 1 Satz 3 des Landesmediengesetzes Nordrhein-Westfalen vom 2. Juli 2002 (GV. NRW. S. 334), die zuletzt durch Artikel 1 des Gesetzes vom 4. Juli 2014 (GV. NRW. S. 387) geändert worden sind, im Folgenden LMG NRW, erlässt die Landesanstalt für Medien Nordrhein-Westfalen (LfM) folgende Satzung:</w:t>
      </w:r>
    </w:p>
    <w:p>
      <w:r>
        <w:rPr>
          <w:color w:val="555555"/>
          <w:sz w:val="17"/>
        </w:rPr>
        <w:t xml:space="preserve">Zitiervorschlag: Eingangsformel NW_32834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https://recht.nulegal.eu/gesetze/NW_32834/eingangsformel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