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NW_32834 (Nordrhein-Westfalen) — Inkrafttreten</w:t>
      </w:r>
    </w:p>
    <w:p>
      <w:r>
        <w:rPr>
          <w:color w:val="555555"/>
          <w:sz w:val="18"/>
        </w:rPr>
        <w:t xml:space="preserve">Zulassungssatzung der Landesanstalt für Medien Nordrhein- Westfalen (LfM) - Zulassungssatzung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Tag nach ihrer Bekanntmachung im Gesetz- und Verordnungsblatt des Landes Nordrhein-Westfalen in Kraft.</w:t>
      </w:r>
    </w:p>
    <w:p>
      <w:r>
        <w:t xml:space="preserve">Gleichzeitig tritt die Zulassungssatzung der Landesanstalt für Medien Nordrhein-Westfalen (LfM) - Zulassungssatzung - vom 5. Juli 2019 (GV. NRW. S. 460) außer Kraft.</w:t>
      </w:r>
    </w:p>
    <w:p>
      <w:r>
        <w:rPr>
          <w:color w:val="555555"/>
          <w:sz w:val="17"/>
        </w:rPr>
        <w:t xml:space="preserve">Zitiervorschlag: § 5 NW_32834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https://recht.nulegal.eu/gesetze/NW_32834/5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