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NW_32834 (Nordrhein-Westfalen) — Änderungen nach der Zulassung</w:t>
      </w:r>
    </w:p>
    <w:p>
      <w:r>
        <w:rPr>
          <w:color w:val="555555"/>
          <w:sz w:val="18"/>
        </w:rPr>
        <w:t xml:space="preserve">Zulassungssatzung der Landesanstalt für Medien Nordrhein- Westfalen (LfM) - Zulassungssatzung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Veranstalter/die Veranstalterin hat der Landesanstalt für Medien Nordrhein-Westfalen (LfM) geplante Veränderungen der für die Zulassung maßgeblichen Umstände vor ihrem Vollzug schriftlich anzuzeigen. Dies gilt insbesondere für eine Veränderung der Geschäftsführung, Veränderungen der Beteiligungsverhältnisse und Änderung der Kontaktdaten.</w:t>
      </w:r>
    </w:p>
    <w:p>
      <w:r>
        <w:t xml:space="preserve">(2) Für Veränderungen wirtschaftlicher und organisatorischer Art (§ 5 Absatz 2 Nummer 5 LMG NRW), die der Veranstalter/die Veranstalterin plant oder durchführt, nachdem er/sie die Rundfunkveranstaltung aufgenommen hat, gilt Absatz 1, sofern es sich um wesentliche Veränderungen handelt. Welche Umstände für die Erfüllung der Kriterien nach § 5 Absatz 2 Nummer 5 LMG NRW wesentlich sind, legt die Landesanstalt für Medien Nordrhein-Westfalen (LfM) im Rahmen des Zulassungsbescheides fest.</w:t>
      </w:r>
    </w:p>
    <w:p>
      <w:r>
        <w:rPr>
          <w:color w:val="555555"/>
          <w:sz w:val="17"/>
        </w:rPr>
        <w:t xml:space="preserve">Zitiervorschlag: § 4 NW_32834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https://recht.nulegal.eu/gesetze/NW_32834/4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