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NW_32834 (Nordrhein-Westfalen) — Anwendungsbereich</w:t>
      </w:r>
    </w:p>
    <w:p>
      <w:r>
        <w:rPr>
          <w:color w:val="555555"/>
          <w:sz w:val="18"/>
        </w:rPr>
        <w:t xml:space="preserve">Zulassungssatzung der Landesanstalt für Medien Nordrhein- Westfalen (LfM) - Zulassungssatzung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Diese Satzung regelt gemäß § 4 Absatz 2 Satz 3 sowie § 7 Absatz 4 LMG NRW Einzelheiten zu den programmlichen Anforderungen sowie zum Verfahren bei der Zulassung von Rundfunkprogrammen, soweit für diese die Vorschriften des Abschnitts 2 des LMG NRW gelten.</w:t>
      </w:r>
    </w:p>
    <w:p>
      <w:r>
        <w:t xml:space="preserve">(2) Diese Satzung regelt zudem gemäß § 9 Absatz 1 Satz 3 LMG NRW Einzelheiten in Bezug auf die Anzeige von Änderungen, nachdem eine Zulassung nach den Vorschriften des Abschnitts 2 des LMG NRW erteilt wurde.</w:t>
      </w:r>
    </w:p>
    <w:p>
      <w:r>
        <w:t xml:space="preserve">(3) Soweit das LMG NRW besondere Regelungen zu programmlichen Anforderungen sowie zum Zulassungsverfahren enthält, gehen diese der Satzung vor.</w:t>
      </w:r>
    </w:p>
    <w:p>
      <w:r>
        <w:rPr>
          <w:color w:val="555555"/>
          <w:sz w:val="17"/>
        </w:rPr>
        <w:t xml:space="preserve">Zitiervorschlag: § 1 NW_32834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https://recht.nulegal.eu/gesetze/NW_32834/1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