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NW_32787 (Nordrhein-Westfalen)</w:t>
      </w:r>
    </w:p>
    <w:p>
      <w:r>
        <w:rPr>
          <w:color w:val="555555"/>
          <w:sz w:val="18"/>
        </w:rPr>
        <w:t xml:space="preserve">Satzung der Provinzial Rheinland Holding Ein Unternehmen der Sparkassen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beschlossen in der Gewährträgerversammlung am 25. August 2020</w:t>
      </w:r>
    </w:p>
    <w:p>
      <w:r>
        <w:rPr>
          <w:color w:val="555555"/>
          <w:sz w:val="17"/>
        </w:rPr>
        <w:t xml:space="preserve">Zitiervorschlag: Volltext NW_32787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https://recht.nulegal.eu/gesetze/NW_32787/volltext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NW_32787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