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NW_32787 (Nordrhein-Westfalen) — Stammkapital, Gewährträger</w:t>
      </w:r>
    </w:p>
    <w:p>
      <w:r>
        <w:rPr>
          <w:color w:val="555555"/>
          <w:sz w:val="18"/>
        </w:rPr>
        <w:t xml:space="preserve">Satzung der Provinzial Rheinland Holding Ein Unternehmen der Sparkassen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1. Die PRH ist mit einem Stammkapital von mindestens 200.000.000 EURO ausgestattet, das aus dem erzielten Jahresüberschuss verzinst werden kann.</w:t>
      </w:r>
    </w:p>
    <w:p>
      <w:r>
        <w:t xml:space="preserve">2. Als Gewährträger der PRH und Träger der Anstaltslast sind am Stammkapital beteiligt:</w:t>
      </w:r>
    </w:p>
    <w:p>
      <w:r>
        <w:t xml:space="preserve">- der Rheinische Sparkassen- und Giroverband mit 34 %,</w:t>
      </w:r>
    </w:p>
    <w:p>
      <w:r>
        <w:t xml:space="preserve">- der Sparkassenverband Rheinland-Pfalz mit 33 1/3 %,</w:t>
      </w:r>
    </w:p>
    <w:p>
      <w:r>
        <w:t xml:space="preserve">- der Landschaftsverband Rheinland mit 32 2/3 %.</w:t>
      </w:r>
    </w:p>
    <w:p>
      <w:r>
        <w:t xml:space="preserve">3. Es können weitere Gewährträger, die juristische Personen des öffentlichen Rechts sein müssen, unter Beteiligung am Stammkapital hinzutreten. Jeder Gewährträger kann gemäß § 7 Abs. 1 Buchst. j) aus dem Kreis der Gewährträger ausscheiden.</w:t>
      </w:r>
    </w:p>
    <w:p>
      <w:r>
        <w:rPr>
          <w:color w:val="555555"/>
          <w:sz w:val="17"/>
        </w:rPr>
        <w:t xml:space="preserve">Zitiervorschlag: § 3 NW_32787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https://recht.nulegal.eu/gesetze/NW_32787/3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