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NW_32787 (Nordrhein-Westfalen) — Ergänzende Auslegungsregeln</w:t>
      </w:r>
    </w:p>
    <w:p>
      <w:r>
        <w:rPr>
          <w:color w:val="555555"/>
          <w:sz w:val="18"/>
        </w:rPr>
        <w:t xml:space="preserve">Satzung der Provinzial Rheinland Holding Ein Unternehmen der Sparkassen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 Gesetze, diese Satzung oder sonstige spezielle Rechtsregelungen nicht entgegenstehen, gelten rechtsanalog die Grundsätze des Aktiengesetzes.</w:t>
      </w:r>
    </w:p>
    <w:p>
      <w:r>
        <w:rPr>
          <w:color w:val="555555"/>
          <w:sz w:val="17"/>
        </w:rPr>
        <w:t xml:space="preserve">Zitiervorschlag: § 19 NW_32787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https://recht.nulegal.eu/gesetze/NW_32787/19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