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NW_32787 (Nordrhein-Westfalen) — Auflösung der PRH</w:t>
      </w:r>
    </w:p>
    <w:p>
      <w:r>
        <w:rPr>
          <w:color w:val="555555"/>
          <w:sz w:val="18"/>
        </w:rPr>
        <w:t xml:space="preserve">Satzung der Provinzial Rheinland Holding Ein Unternehmen der Sparkassen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Im Falle der Auflösung der PRH ist die Liquidation einzuleiten. Das nach beendeter Liquidation verbleibende Vermögen fällt im Verhältnis ihrer Anteile am Stammkapital an die Gewährträger.</w:t>
      </w:r>
    </w:p>
    <w:p>
      <w:r>
        <w:rPr>
          <w:color w:val="555555"/>
          <w:sz w:val="17"/>
        </w:rPr>
        <w:t xml:space="preserve">Zitiervorschlag: § 16 NW_32787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https://recht.nulegal.eu/gesetze/NW_32787/16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