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NW_32787 (Nordrhein-Westfalen) — Aufsicht</w:t>
      </w:r>
    </w:p>
    <w:p>
      <w:r>
        <w:rPr>
          <w:color w:val="555555"/>
          <w:sz w:val="18"/>
        </w:rPr>
        <w:t xml:space="preserve">Satzung der Provinzial Rheinland Holding Ein Unternehmen der Sparkassen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1. Die PRH untersteht, unbeschadet der Aufsicht nach bundesrechtlichen Vorschriften, der Aufsicht durch das für Finanzen zuständige Ministerium des Landes Nordrhein-Westfalen. Dessen Entscheidungen ergehen im Einvernehmen mit dem für Inneres zuständigen Ministerium des Landes Rheinland-Pfalz.</w:t>
      </w:r>
    </w:p>
    <w:p>
      <w:r>
        <w:t xml:space="preserve">2. Die Aufsicht erstreckt sich darauf, dass die Tätigkeit der PRH im Einklang mit Recht und Gesetz steht.</w:t>
      </w:r>
    </w:p>
    <w:p>
      <w:r>
        <w:t xml:space="preserve">3. Die durch Maßnahmen der Aufsichtsbehörde entstehenden Kosten trägt die PRH.</w:t>
      </w:r>
    </w:p>
    <w:p>
      <w:r>
        <w:rPr>
          <w:color w:val="555555"/>
          <w:sz w:val="17"/>
        </w:rPr>
        <w:t xml:space="preserve">Zitiervorschlag: § 15 NW_32787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https://recht.nulegal.eu/gesetze/NW_32787/15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NW_32787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