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NW_32787 (Nordrhein-Westfalen) — Geschäftsjahr und Jahresabschluss</w:t>
      </w:r>
    </w:p>
    <w:p>
      <w:r>
        <w:rPr>
          <w:color w:val="555555"/>
          <w:sz w:val="18"/>
        </w:rPr>
        <w:t xml:space="preserve">Satzung der Provinzial Rheinland Holding Ein Unternehmen der Sparkassen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1. Geschäftsjahr ist das Kalenderjahr.</w:t>
      </w:r>
    </w:p>
    <w:p>
      <w:r>
        <w:t xml:space="preserve">2. Der Vorstand stellt nach Abschluss des Geschäftsjahres den Jahresabschluss und den Lagebericht nach den gesetzlichen Vorschriften auf und legt ihn dem Abschlussprüfer zur Durchführung der Prüfung vor.</w:t>
      </w:r>
    </w:p>
    <w:p>
      <w:r>
        <w:t xml:space="preserve">3. Die Einnahmen der PRH aus deren Beteiligung an der Provinzial Holding Aktiengesellschaft werden an die Gewährträger im Verhältnis derer Beteiligung am Stammkapital der PRH ausgeschüttet.</w:t>
      </w:r>
    </w:p>
    <w:p>
      <w:r>
        <w:rPr>
          <w:color w:val="555555"/>
          <w:sz w:val="17"/>
        </w:rPr>
        <w:t xml:space="preserve">Zitiervorschlag: § 14 NW_32787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https://recht.nulegal.eu/gesetze/NW_32787/14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