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NW_32733 (Nordrhein-Westfalen)</w:t>
      </w:r>
    </w:p>
    <w:p>
      <w:r>
        <w:rPr>
          <w:color w:val="555555"/>
          <w:sz w:val="18"/>
        </w:rPr>
        <w:t xml:space="preserve">Verordnung über Zuständigkeiten nach dem eID-Karte-Gesetz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23. Juni 2020</w:t>
      </w:r>
    </w:p>
    <w:p>
      <w:r>
        <w:t xml:space="preserve">Auf Grund des § 5 Abs. 3 Satz 1 des Landesorganisationsgesetzes vom 10. Juli 1962 (GV. NRW. S. 421), der zuletzt durch Artikel 10 des Gesetzes vom 9. Mai 2000 (GV. NRW. S. 462) geändert worden ist, verordnet die Landesregierung nach Anhörung des fachlich zuständigen Ausschusses:</w:t>
      </w:r>
    </w:p>
    <w:p>
      <w:r>
        <w:rPr>
          <w:color w:val="555555"/>
          <w:sz w:val="17"/>
        </w:rPr>
        <w:t xml:space="preserve">Zitiervorschlag: Eingangsformel NW_32733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https://recht.nulegal.eu/gesetze/NW_32733/eingangsformel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