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NW_32706 (Nordrhein-Westfalen) — Inkrafttreten und Berichtspflicht</w:t>
      </w:r>
    </w:p>
    <w:p>
      <w:r>
        <w:rPr>
          <w:color w:val="555555"/>
          <w:sz w:val="18"/>
        </w:rPr>
        <w:t xml:space="preserve">Gesetz über das Portal für wirtschaftsbezogene Verwaltungsleistungen (Wirtschafts-Portal-Gesetz Nordrhein-Westfalen – WiPG NRW)1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Die Landesregierung berichtet dem Landtag bis zum 1. Juli 2025 über die Erfahrungen mit diesem Gesetz und die Notwendigkeit seines Fortbestehens.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für Kinder, Familie, Flüchtlinge und Integration</w:t>
      </w:r>
    </w:p>
    <w:p>
      <w:r>
        <w:t xml:space="preserve">Der Minister der Finanzen</w:t>
      </w:r>
    </w:p>
    <w:p>
      <w:r>
        <w:t xml:space="preserve">Der Minister des Innern</w:t>
      </w:r>
    </w:p>
    <w:p>
      <w:r>
        <w:t xml:space="preserve">Der Minister für Wirtschaft, Innovation, Digitalisierung und Energie</w:t>
      </w:r>
    </w:p>
    <w:p>
      <w:r>
        <w:t xml:space="preserve">Der Minister für Arbeit, Gesundheit und Soziales</w:t>
      </w:r>
    </w:p>
    <w:p>
      <w:r>
        <w:t xml:space="preserve">Die Ministerin für Schule und Bildung</w:t>
      </w:r>
    </w:p>
    <w:p>
      <w:r>
        <w:t xml:space="preserve">Die Ministerin für Heimat, Kommunales, Bau und Gleichstellung</w:t>
      </w:r>
    </w:p>
    <w:p>
      <w:r>
        <w:t xml:space="preserve">Der Minister der Justiz</w:t>
      </w:r>
    </w:p>
    <w:p>
      <w:r>
        <w:t xml:space="preserve">Der Minister für Verkehr</w:t>
      </w:r>
    </w:p>
    <w:p>
      <w:r>
        <w:t xml:space="preserve">Die Ministerin für Kultur und Wissenschaft</w:t>
      </w:r>
    </w:p>
    <w:p>
      <w:r>
        <w:t xml:space="preserve">Zugleich für die Ministerin für Umwelt, Landwirtschaft, Natur- und Verbraucherschutz</w:t>
      </w:r>
    </w:p>
    <w:p>
      <w:r>
        <w:t xml:space="preserve">Der Minister für Bundes- und Europaangelegenheiten sowie Internationales</w:t>
      </w:r>
    </w:p>
    <w:p>
      <w:r>
        <w:t xml:space="preserve">[1] Dieses Gesetz dient der Umsetzung der Richtlinie 2006/123/EG des Europäischen Parlaments und des Rates vom 12. Dezember 2006 über Dienstleistungen im Binnenmarkt (ABl. L 376 vom 27.12.2006, S. 36) und der Richtlinie 2005/36/EG des Europäischen Parlaments und des Rates vom 7. September 2005 über die Anerkennung von Berufsqualifikationen (ABl. L 255 vom 30.09.2005, S. 22, 2007, L 271 vom 16.10.2007, S. 18, L 93 vom 4.4.2008, S. 28, L 33 vom 3.2.2009, S. 49, L 305 vom 24.10.2014, S. 115, L 177 vom 8.7.2015, S. 60, L 268 vom 15.10.2015, S. 35, L 95 vom 9.4.2016, S. 20).</w:t>
      </w:r>
    </w:p>
    <w:p>
      <w:r>
        <w:rPr>
          <w:color w:val="555555"/>
          <w:sz w:val="17"/>
        </w:rPr>
        <w:t xml:space="preserve">Zitiervorschlag: § 16 NW_32706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https://recht.nulegal.eu/gesetze/NW_32706/16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