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NW_32678 (Nordrhein-Westfalen) — Wirtschaftlichkeitsuntersuchung, Baufachliche Stellungnahme</w:t>
      </w:r>
    </w:p>
    <w:p>
      <w:r>
        <w:rPr>
          <w:color w:val="555555"/>
          <w:sz w:val="18"/>
        </w:rPr>
        <w:t xml:space="preserve">Verordnung zur Übertragung der Bauherreneigenschaft und Eigentümerverantwortung auf die Hochschulen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Hochschule hat nach den Maßgaben des Leitfadens „Wirtschaftlichkeitsbetrachtungen für immobilienwirtschaftliche Maßnahmen des Landes Nordrhein-Westfalen“ in der jeweils gültigen Fassung des für Finanzen zuständigen Ministeriums eine Wirtschaftlichkeitsuntersuchung, die alle methodischen Bestandteile einer Wirtschaftlichkeitsbetrachtung im Sinne des vorgenannten Leitfadens umfasst, durchzuführen.</w:t>
      </w:r>
    </w:p>
    <w:p>
      <w:r>
        <w:t xml:space="preserve">(2) Das für Bauen zuständige Ministerium nimmt zu dem Antrag der Hochschule in baufachlicher Hinsicht Stellung.</w:t>
      </w:r>
    </w:p>
    <w:p>
      <w:r>
        <w:rPr>
          <w:color w:val="555555"/>
          <w:sz w:val="17"/>
        </w:rPr>
        <w:t xml:space="preserve">Zitiervorschlag: § 8 NW_32678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https://recht.nulegal.eu/gesetze/NW_32678/8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