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NW_32678 (Nordrhein-Westfalen) — Antrag einer Hochschule</w:t>
      </w:r>
    </w:p>
    <w:p>
      <w:r>
        <w:rPr>
          <w:color w:val="555555"/>
          <w:sz w:val="18"/>
        </w:rPr>
        <w:t xml:space="preserve">Verordnung zur Übertragung der Bauherreneigenschaft und Eigentümerverantwortung auf die Hochschulen des Landes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Eine Hochschule im Sinne des § 1 kann durch ihre Vertretungsberechtigten gemäß § 18 Absatz 1 des Hochschulgesetzes beim Ministerium einen Antrag auf Übertragung der Bauherreneigenschaft und der Eigentümerverantwortung an Teilen oder der Gesamtheit der ihr seitens des Landes oder seitens des Bau- und Liegenschaftsbetriebes NRW überlassenen Liegenschaften stellen. Die Übertragung der Bauherreneigenschaft kann insbesondere die Instandhaltung, die Sanierung und Modernisierung von Bestandsbauten und die Errichtung von Neubauten betreffen.</w:t>
      </w:r>
    </w:p>
    <w:p>
      <w:r>
        <w:t xml:space="preserve">(2) Der Antrag nach Absatz 1 bedarf der Schriftform. Eine durch Rechtsvorschrift angeordnete Schriftform kann, soweit nicht durch Rechtsvorschrift etwas anderes bestimmt ist, durch die elektronische Form ersetzt werden.</w:t>
      </w:r>
    </w:p>
    <w:p>
      <w:r>
        <w:t xml:space="preserve">(3) Der Inhalt des Antrages muss</w:t>
      </w:r>
    </w:p>
    <w:p>
      <w:r>
        <w:t xml:space="preserve">1. das Bauvorhaben nebst Grundstück bezeichnen, für das die Bauherreneigenschaft und die Eigentümerverantwortung übertragen werden soll,</w:t>
      </w:r>
    </w:p>
    <w:p>
      <w:r>
        <w:t xml:space="preserve">2. Umfang, sowie Art und Weise der Übertragung der Bauherreneigenschaft und der Eigentümerverantwortung benennen,</w:t>
      </w:r>
    </w:p>
    <w:p>
      <w:r>
        <w:t xml:space="preserve">3. die gesicherte Finanzierung des Bauvorhabens darlegen,</w:t>
      </w:r>
    </w:p>
    <w:p>
      <w:r>
        <w:t xml:space="preserve">4. die organisatorischen Voraussetzungen darlegen, die zur Erfüllung der übertragenen Aufgaben notwendig sind,</w:t>
      </w:r>
    </w:p>
    <w:p>
      <w:r>
        <w:t xml:space="preserve">5. das Ergebnis einer Wirtschaftlichkeitsuntersuchung gemäß § 8 darstellen und</w:t>
      </w:r>
    </w:p>
    <w:p>
      <w:r>
        <w:t xml:space="preserve">6. Unterlagen beinhalten, mit denen eine baufachliche Stellungnahme des für Bauen zuständigen Ministeriums ermöglicht wird.</w:t>
      </w:r>
    </w:p>
    <w:p>
      <w:r>
        <w:rPr>
          <w:color w:val="555555"/>
          <w:sz w:val="17"/>
        </w:rPr>
        <w:t xml:space="preserve">Zitiervorschlag: § 4 NW_32678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https://recht.nulegal.eu/gesetze/NW_32678/4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