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NW_32678 (Nordrhein-Westfalen) — Allgemeines</w:t>
      </w:r>
    </w:p>
    <w:p>
      <w:r>
        <w:rPr>
          <w:color w:val="555555"/>
          <w:sz w:val="18"/>
        </w:rPr>
        <w:t xml:space="preserve">Verordnung zur Übertragung der Bauherreneigenschaft und Eigentümerverantwortung auf die Hochschulen des Landes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zuständige Ministerium im Sinne dieser Verordnung ist das für die Rechtsaufsicht über die Hochschulen nach § 101 Absatz 1 des Hochschulgesetzes zuständige Ministerium.</w:t>
      </w:r>
    </w:p>
    <w:p>
      <w:r>
        <w:t xml:space="preserve">(2) Das Nähere zu dieser Rechtsverordnung regeln die Verwaltungsvorschriften. Die Verwaltungsvorschriften sind im Einvernehmen mit dem für Finanzen zuständigen Ministerium zu erlassen.</w:t>
      </w:r>
    </w:p>
    <w:p>
      <w:r>
        <w:rPr>
          <w:color w:val="555555"/>
          <w:sz w:val="17"/>
        </w:rPr>
        <w:t xml:space="preserve">Zitiervorschlag: § 3 NW_32678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https://recht.nulegal.eu/gesetze/NW_32678/3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