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NW_32678 (Nordrhein-Westfalen) — Haftung</w:t>
      </w:r>
    </w:p>
    <w:p>
      <w:r>
        <w:rPr>
          <w:color w:val="555555"/>
          <w:sz w:val="18"/>
        </w:rPr>
        <w:t xml:space="preserve">Verordnung zur Übertragung der Bauherreneigenschaft und Eigentümerverantwortung auf die Hochschulen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Hochschule haftet für Schäden an den Gebäuden des Bau- und Liegenschaftsbetriebes NRW, die im Rahmen der Durchführung von Bauvorhaben im Sinne dieser Rechtsverordnung entstehen.</w:t>
      </w:r>
    </w:p>
    <w:p>
      <w:r>
        <w:t xml:space="preserve">(2) Mit Übertragung der Bauherreneigenschaft gehen die Pflichten nach § 10 Absatz 2 auf die Hochschule über. Die Hochschule hat den Bau- und Liegenschaftsbetrieb NRW von der Inanspruchnahme aus Verbindlichkeiten freizustellen, die ihren Grund in der übertragenen Bauherreneigenschaft und Eigentümerverantwortung haben.</w:t>
      </w:r>
    </w:p>
    <w:p>
      <w:r>
        <w:rPr>
          <w:color w:val="555555"/>
          <w:sz w:val="17"/>
        </w:rPr>
        <w:t xml:space="preserve">Zitiervorschlag: § 13 NW_32678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https://recht.nulegal.eu/gesetze/NW_32678/13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