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11 NW_32678 (Nordrhein-Westfalen) — Mietreduktionen</w:t>
      </w:r>
    </w:p>
    <w:p>
      <w:r>
        <w:rPr>
          <w:color w:val="555555"/>
          <w:sz w:val="18"/>
        </w:rPr>
        <w:t xml:space="preserve">Verordnung zur Übertragung der Bauherreneigenschaft und Eigentümerverantwortung auf die Hochschulen des Landes Nordrhein-Westfalen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Im Umfang der Übernahme der Bauherreneigenschaft und Eigentümerverantwortung nach § 10 Absatz 2 durch die Hochschule entfällt die Pflicht zur Zahlung des darauf entfallenden Teils der Miete an den Bau- und Liegenschaftsbetrieb NRW.</w:t>
      </w:r>
    </w:p>
    <w:p>
      <w:r>
        <w:rPr>
          <w:color w:val="555555"/>
          <w:sz w:val="17"/>
        </w:rPr>
        <w:t xml:space="preserve">Zitiervorschlag: § 11 NW_32678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https://recht.nulegal.eu/gesetze/NW_32678/11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