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NW_32678 (Nordrhein-Westfalen) — Neubau, Erweiterungsbau, Umbau</w:t>
      </w:r>
    </w:p>
    <w:p>
      <w:r>
        <w:rPr>
          <w:color w:val="555555"/>
          <w:sz w:val="18"/>
        </w:rPr>
        <w:t xml:space="preserve">Verordnung zur Übertragung der Bauherreneigenschaft und Eigentümerverantwortung auf die Hochschulen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Wird einer Hochschule gemäß § 5 die Bauherreneigenschaft für einen Neu-, Um- oder Erweiterungsbau oder für die Instandhaltung auf beziehungsweise an einer Liegenschaft übertragen, die im Eigentum des Landes oder des Bau- und Liegenschaftsbetriebes NRW steht, so ist der Hochschule die Liegenschaft im Rahmen einer Gestattung oder eines Erbbaurechts zu überlassen.</w:t>
      </w:r>
    </w:p>
    <w:p>
      <w:r>
        <w:t xml:space="preserve">(2) Übernimmt die Hochschule die Bauherreneigenschaft und Eigentümerverantwortung für einen Neu-, Um- oder Erweiterungsbau eines Gebäudes, so ist sie auch für alle Folgemaßnahmen verantwortlich, soweit keine abweichende vertragliche Vereinbarung mit dem Bau- und Liegenschaftsbetrieb NRW getroffen wurde. Zu den Folgemaßnahmen zählen unter anderem</w:t>
      </w:r>
    </w:p>
    <w:p>
      <w:r>
        <w:t xml:space="preserve">1. Verkehrssicherungspflicht am Gebäude und Grundstück,</w:t>
      </w:r>
    </w:p>
    <w:p>
      <w:r>
        <w:t xml:space="preserve">2. Instandhaltung inklusive Instandsetzung,</w:t>
      </w:r>
    </w:p>
    <w:p>
      <w:r>
        <w:t xml:space="preserve">3. Betreiben und Bewirtschaften.</w:t>
      </w:r>
    </w:p>
    <w:p>
      <w:r>
        <w:t xml:space="preserve">(3) Ist für den Bau nach Absatz 1 der Erwerb eines Grundstücks erforderlich, so muss das Land zivilrechtlicher Eigentümer des Grundstücks werden und dieses im Sinne des Absatzes 1 der antragstellenden Hochschule überlassen.</w:t>
      </w:r>
    </w:p>
    <w:p>
      <w:r>
        <w:t xml:space="preserve">(4) Für die Bauausführung eines Neu-, Um- oder Erweiterungsbaus kann die Hochschule einen Dritten beauftragen.</w:t>
      </w:r>
    </w:p>
    <w:p>
      <w:r>
        <w:rPr>
          <w:color w:val="555555"/>
          <w:sz w:val="17"/>
        </w:rPr>
        <w:t xml:space="preserve">Zitiervorschlag: § 10 NW_32678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https://recht.nulegal.eu/gesetze/NW_32678/10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