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NW_32655 (Nordrhein-Westfalen) — Aufbewahrung der Tabellen, Verzeichnisse und dazugehörigen Dokumente</w:t>
      </w:r>
    </w:p>
    <w:p>
      <w:r>
        <w:rPr>
          <w:color w:val="555555"/>
          <w:sz w:val="18"/>
        </w:rPr>
        <w:t xml:space="preserve">Verordnung über die elektronische Führung und Einreichung der Tabellen und Verzeichnisse sowie der dazugehörigen Dokumente in Insolvenzsachen im Land Nordrhein-Westfalen (eTabelle Insolvenzordnung – eTab InsO)*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elektronisch geführten Tabellenblätter sind für die Dauer der Aufbewahrungsfrist revisionssicher zu speichern.</w:t>
      </w:r>
    </w:p>
    <w:p>
      <w:r>
        <w:rPr>
          <w:color w:val="555555"/>
          <w:sz w:val="17"/>
        </w:rPr>
        <w:t xml:space="preserve">Zitiervorschlag: § 3 NW_32655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https://recht.nulegal.eu/gesetze/NW_32655/3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