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NW_32654 (Nordrhein-Westfalen) — Studienordnung</w:t>
      </w:r>
    </w:p>
    <w:p>
      <w:r>
        <w:rPr>
          <w:color w:val="555555"/>
          <w:sz w:val="18"/>
        </w:rPr>
        <w:t xml:space="preserve">VAP VIT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Hinsichtlich der Durchführung der Ausbildung und Prüfung im dualen Studiengang Verwaltungsinformatik – E-Government, B.Sc. (Blockmodell) gelten die Rahmenprüfungsordnung für die Bachelor- und Masterstudiengänge, sowie die Prüfungsordnung für den dualen Studiengang Verwaltungsinformatik – E-Government, B.Sc. (Blockmodell) in der jeweils geltenden Fassung.</w:t>
      </w:r>
    </w:p>
    <w:p>
      <w:r>
        <w:t xml:space="preserve">Teil 5</w:t>
      </w:r>
    </w:p>
    <w:p>
      <w:r>
        <w:t xml:space="preserve">Regelaufstieg</w:t>
      </w:r>
    </w:p>
    <w:p>
      <w:r>
        <w:rPr>
          <w:color w:val="555555"/>
          <w:sz w:val="17"/>
        </w:rPr>
        <w:t xml:space="preserve">Zitiervorschlag: § 20 NW_32654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https://recht.nulegal.eu/gesetze/NW_32654/20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NW_32654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