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NW_32594 (Nordrhein-Westfalen)</w:t>
      </w:r>
    </w:p>
    <w:p>
      <w:r>
        <w:rPr>
          <w:color w:val="555555"/>
          <w:sz w:val="18"/>
        </w:rPr>
        <w:t xml:space="preserve">Verordnung über die Durchführung von Ausgleichsmaßnahmen nach dem Berufsqualifikationsfeststellungsgesetz Nordrhein-Westfalen für das akademische Berufsbild „staatlich anerkannte Heilpädagogin“ oder „staatlich anerkannter Heilpädagoge“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Januar 2020</w:t>
      </w:r>
    </w:p>
    <w:p>
      <w:r>
        <w:t xml:space="preserve">Auf Grund des § 11 Absatz 2 Satz 3 des Berufsqualifikationsfeststellungsgesetzes Nordrhein-Westfalen vom 28. Mai 2013 (GV. NRW. S. 272), verordnet das Ministerium für Arbeit, Gesundheit und Soziales:</w:t>
      </w:r>
    </w:p>
    <w:p>
      <w:r>
        <w:rPr>
          <w:color w:val="555555"/>
          <w:sz w:val="17"/>
        </w:rPr>
        <w:t xml:space="preserve">Zitiervorschlag: Eingangsformel NW_32594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https://recht.nulegal.eu/gesetze/NW_32594/eingangsformel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