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NW_32571 (Nordrhein-Westfalen) — Gemeinnützigkeit und Mittelverwendung</w:t>
      </w:r>
    </w:p>
    <w:p>
      <w:r>
        <w:rPr>
          <w:color w:val="555555"/>
          <w:sz w:val="18"/>
        </w:rPr>
        <w:t xml:space="preserve">Gesetz zur Errichtung einer Stiftung „Haus der Geschichte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verfolgt ausschließlich und unmittelbar einen gemeinnützigen Zweck im Sinne des Abschnitts „Steuerbegünstigte Zwecke“ der Abgabenordnung.</w:t>
      </w:r>
    </w:p>
    <w:p>
      <w:r>
        <w:t xml:space="preserve">(2) Sie verfolgt keinen eigenwirtschaftlichen Zweck.</w:t>
      </w:r>
    </w:p>
    <w:p>
      <w:r>
        <w:t xml:space="preserve">(3) Mittel der Stiftung dürfen nur für den gesetzmäßigen Zweck verwendet werden. Die Stiftung ist sparsam und wirtschaftlich zu verwalten. Die Verwaltung dient der dauernden und nachhaltigen Erfüllung des Stiftungszwecks.</w:t>
      </w:r>
    </w:p>
    <w:p>
      <w:r>
        <w:rPr>
          <w:color w:val="555555"/>
          <w:sz w:val="17"/>
        </w:rPr>
        <w:t xml:space="preserve">Zitiervorschlag: § 3 NW_32571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https://recht.nulegal.eu/gesetze/NW_32571/3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