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NW_32571 (Nordrhein-Westfalen) — Eintritt, Gebühren</w:t>
      </w:r>
    </w:p>
    <w:p>
      <w:r>
        <w:rPr>
          <w:color w:val="555555"/>
          <w:sz w:val="18"/>
        </w:rPr>
        <w:t xml:space="preserve">Gesetz zur Errichtung einer Stiftung „Haus der Geschichte Nordrhein-Westfalen“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Eintritt in das „Haus der Geschichte Nordrhein-Westfalen“ ist frei.</w:t>
      </w:r>
    </w:p>
    <w:p>
      <w:r>
        <w:t xml:space="preserve">(2) Die Stiftung kann Gebühren für die Benutzung von Stiftungseinrichtungen und für besondere Veranstaltungen erheben.</w:t>
      </w:r>
    </w:p>
    <w:p>
      <w:r>
        <w:t xml:space="preserve">(3) Das Nähere regelt eine Satzung.</w:t>
      </w:r>
    </w:p>
    <w:p>
      <w:r>
        <w:rPr>
          <w:color w:val="555555"/>
          <w:sz w:val="17"/>
        </w:rPr>
        <w:t xml:space="preserve">Zitiervorschlag: § 17 NW_32571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https://recht.nulegal.eu/gesetze/NW_32571/17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