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NW_32571 (Nordrhein-Westfalen) — Aufsicht, Haushalt, Rechnungsprüfung</w:t>
      </w:r>
    </w:p>
    <w:p>
      <w:r>
        <w:rPr>
          <w:color w:val="555555"/>
          <w:sz w:val="18"/>
        </w:rPr>
        <w:t xml:space="preserve">Gesetz zur Errichtung einer Stiftung „Haus der Geschichte Nordrhein-Westfalen“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Stiftung unterliegt der Rechtsaufsicht des für Kultur zuständigen Ministeriums.</w:t>
      </w:r>
    </w:p>
    <w:p>
      <w:r>
        <w:t xml:space="preserve">(2) Für das Haushalts-, Kassen- und Rechnungswesen sowie für die Rechnungslegung der Stiftung gelten die für die unmittelbare Landesverwaltung geltenden Bestimmungen. Die Haushalts- und Wirtschaftsführung der Stiftung unterliegen der Prüfung durch den Landesrechnungshof.</w:t>
      </w:r>
    </w:p>
    <w:p>
      <w:r>
        <w:rPr>
          <w:color w:val="555555"/>
          <w:sz w:val="17"/>
        </w:rPr>
        <w:t xml:space="preserve">Zitiervorschlag: § 14 NW_32571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https://recht.nulegal.eu/gesetze/NW_32571/14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