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NW_32566 (Nordrhein-Westfalen)</w:t>
      </w:r>
    </w:p>
    <w:p>
      <w:r>
        <w:rPr>
          <w:color w:val="555555"/>
          <w:sz w:val="18"/>
        </w:rPr>
        <w:t xml:space="preserve">Verordnung zur Übertragung von Befugnissen nach den §§ 58 und 59 der Landeshaushaltsordnung im Geschäftsbereich des Ministeriums für Kinder, Familie, Flüchtlinge und Integration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Januar 2020 in Kraft.</w:t>
      </w:r>
    </w:p>
    <w:p>
      <w:r>
        <w:t xml:space="preserve">Der Minister</w:t>
      </w:r>
    </w:p>
    <w:p>
      <w:r>
        <w:t xml:space="preserve">für Kinder, Familie, Flüchtlinge und Integration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4 NW_32566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https://recht.nulegal.eu/gesetze/NW_32566/4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