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NW_32564 (Nordrhein-Westfalen) — Zuschuss zur Flexibilisierung der Betreuungszeiten</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gewährt jedem Jugendamt einen pauschalierten Zuschuss für die Flexibilisierung der Kindertagesbetreuung. Im Rahmen der örtlichen Jugendhilfeplanung entscheidet das Jugendamt auf Basis der örtlichen Bedarfslage, welche Angebote in die Förderung zur Flexibilisierung der Betreuungszeiten aufgenommen werden. Die Bezuschussung dient der finanziellen Förderung von kind- und bedarfsgerechten, familienunterstützenden Angeboten in der Kindertagesbetreuung, wie</w:t>
      </w:r>
    </w:p>
    <w:p>
      <w:r>
        <w:t xml:space="preserve">1. Öffnungszeiten in Kindertageseinrichtungen, die über eine Öffnungszeit von wöchentlich 47 Stunden hinausgehen,</w:t>
      </w:r>
    </w:p>
    <w:p>
      <w:r>
        <w:t xml:space="preserve">2. Öffnungszeiten in Kindertageseinrichtungen an Wochenend- und Feiertagen,</w:t>
      </w:r>
    </w:p>
    <w:p>
      <w:r>
        <w:t xml:space="preserve">3. Öffnungszeiten und Betreuungsangebote nach 17 Uhr und vor 7 Uhr,</w:t>
      </w:r>
    </w:p>
    <w:p>
      <w:r>
        <w:t xml:space="preserve">4. bis zu 15 der Öffnungstage im Kindergartenjahr für Kindertageseinrichtungen, die nur 15 Öffnungstage oder weniger jährlich schließen,</w:t>
      </w:r>
    </w:p>
    <w:p>
      <w:r>
        <w:t xml:space="preserve">5. zusätzliche Betreuungsangebote bei unregelmäßigem Bedarf oder für ausnahmsweise kurzfristig erhöhten Bedarf der Familien und Notfallangebote sowie</w:t>
      </w:r>
    </w:p>
    <w:p>
      <w:r>
        <w:t xml:space="preserve">6. ergänzende Kindertagespflege gemäß § 23 Absatz 1.</w:t>
      </w:r>
    </w:p>
    <w:p>
      <w:r>
        <w:t xml:space="preserve">(2) Das Land stellt hierfür im Kindergartenjahr 2020/2021 einen Betrag von 40 Millionen Euro, im Kindergartenjahr 2021/2022 von 60 Millionen Euro und ab dem Kindergartenjahr 2022/2023 von 80 Millionen Euro jährlich landesweit zur Verfügung. Der Anteil des Jugendamtes ergibt sich in den Kindergartenjahren 2020/2021 bis 2024/2025 aus der Anzahl der im Jugendamtsbezirk nach der verbindlichen Jugendhilfeplanung gemäß § 19 Absatz 3 des Kinderbildungsgesetzes vom 30. Oktober 2007 (GV. NRW. S. 462) in der am 31. Juli 2020 geltenden Fassung, bis zum 15. März 2019 für das Kindergartenjahr 2019/2020 beantragten Kindpauschalen für in Tageseinrichtungen betreute Kinder im Verhältnis zur landesweiten Anzahl der beantragten Kindpauschalen für in Tageseinrichtungen betreute Kinder.</w:t>
      </w:r>
    </w:p>
    <w:p>
      <w:r>
        <w:t xml:space="preserve">(3) Voraussetzung für den Zuschuss nach Absatz 1 ist, dass das Jugendamt diesen Zuschuss mit einer Erhöhung des Betrages um 25 Prozent für zeitlich flexible Angebotsformen der Kindertagesbetreuung einsetzt und an Träger von Tageseinrichtungen, Kindertagespflegepersonen oder Anstellungsträger von Kindertagespflegepersonen weiterleitet. § 45 Absatz 2 Satz 5 und 7 gilt entsprechend. § 37 gilt ab dem Kindergartenjahr 2023/2024 entsprechend.</w:t>
      </w:r>
    </w:p>
    <w:p>
      <w:r>
        <w:t xml:space="preserve">(4) Bei der Konzeptionierung und Inanspruchnahme der flexiblen Angebotsformen ist den alters- und entwicklungsbezogenen Bedürfnissen der Kinder nach Kontinuität und Verlässlichkeit sowie den Bindungs- und Bildungsprozessen der einzelnen Kinder Rechnung zu tragen. Werden im Rahmen der flexiblen Angebotsformen Kinder betreut, die das dritte Lebensjahr noch nicht vollendet haben oder erfolgt die Betreuung im Rahmen von Kindertagespflege, dürfen nicht mehr als fünf Kinder gleichzeitig von einer pädagogischen Kraft betreut werden.</w:t>
      </w:r>
    </w:p>
    <w:p>
      <w:r>
        <w:t xml:space="preserve">(5) Die im Rahmen flexibler Angebotsformen eingesetzten Personen sollen mindestens über eine Qualifikation als Kindertagespflegeperson im Umfang von 160 Unterrichtseinheiten oder vergleichbare pädagogische Kenntnisse verfügen und sind mindestens als Beschäftigte in der Tätigkeit von Kinderpflegerinnen und Kinderpflegern mit staatlicher Anerkennung zu vergüten.</w:t>
      </w:r>
    </w:p>
    <w:p>
      <w:r>
        <w:rPr>
          <w:color w:val="555555"/>
          <w:sz w:val="17"/>
        </w:rPr>
        <w:t xml:space="preserve">Zitiervorschlag: § 48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