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NW_32564 (Nordrhein-Westfalen) — Planungsgarantie</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Jedem Träger wird zur Finanzierung der Tageseinrichtung grundsätzlich mindestens die Summe der Kindpauschalen abzüglich des Trägeranteils gezahlt, die sich nach der Istbelegung des Vorjahres zuzüglich einer Erhöhung nach § 37 ergibt (Planungsgarantie). Sinkt die Summe der Kindpauschalen, die eine Kindertageseinrichtung nach dem Anmeldestand zum 15. März für die Monate August bis Januar des im selben Kalenderjahr beginnenden Kindergartenjahres zu erwarten hat, unter den Wert der Summe der Kindpauschalen aufgrund der bis Januar erreichten Istbelegung, so gewährt das Jugendamt dem Träger der Einrichtung zunächst Abschläge auf die Zuschüsse zu den Kindpauschalen in gleicher Höhe wie im zurückliegenden Kindergartenjahr. Sobald die Summe der tatsächlichen Istbelegung des zurückliegenden Kindergartenjahres festgestellt wurde, werden die Abschlagszahlungen entsprechend der Höhe der Planungsgarantie angepasst.</w:t>
      </w:r>
    </w:p>
    <w:p>
      <w:r>
        <w:t xml:space="preserve">(2) Wird im Laufe des Kindergartenjahres ein zusätzliches Kind in einer Einrichtung angemeldet, bei der die Planungsgarantie Anwendung findet, und ist ein dem Bedarf entsprechender Betreuungsplatz verfügbar, so ist dieses Kind unter Wahrung des Grundsatzes der Trägerautonomie grundsätzlich aufzunehmen. Steigt die Summe der Kindpauschalen aus diesem oder einem anderen Grund, so erhöht sich der Zuschuss des Jugendamtes erst wenn die Planungsgarantie überschritten wird.</w:t>
      </w:r>
    </w:p>
    <w:p>
      <w:r>
        <w:t xml:space="preserve">(3) Die Planungsgarantie findet keine Anwendung bei Einrichtungs- oder Gruppenschließungen. Die Planungsgarantie ist auch insoweit ausgeschlossen, als der Träger der Einrichtung einzelne Gruppen oder zehn Plätze oder mehr auf eine andere Einrichtung überträgt. Dies gilt auch für Plätze, die nach einer Vereinbarung zwischen dem Träger und dem Jugendamt nur vorübergehend belegt und dann von einer Einrichtung auf andere Einrichtungen übertragen wurden. Für die Berechnung der Planungsgarantie bei der Inbetriebnahme von neuen Einrichtungen kann die Oberste Landesjugendbehörde abweichende Regelungen treffen.</w:t>
      </w:r>
    </w:p>
    <w:p>
      <w:r>
        <w:rPr>
          <w:color w:val="555555"/>
          <w:sz w:val="17"/>
        </w:rPr>
        <w:t xml:space="preserve">Zitiervorschlag: § 41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