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NW_32564 (Nordrhein-Westfalen) — Kindpauschalenbudget</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finanzielle Basisförderung für Personal- und Sachkosten der Kindertageseinrichtungen wird in Form von Pauschalen für jedes in einer Kindertageseinrichtung aufgenommene Kind (Kindpauschalen) gezahlt. Die Kindpauschalen ergeben sich aus der Anlage. Nimmt ein Kind den Platz in einer Einrichtung nach dem Betreuungsvertrag nicht während des gesamten Kindergartenjahres in Anspruch, erhält der Träger eine anteilige Pauschale. Hierzu erfolgt eine monatliche Erfassung durch den Träger der Einrichtung auf der Grundlage des Betreuungsvertrages bis spätestens zum Ende des übernächsten Monats.</w:t>
      </w:r>
    </w:p>
    <w:p>
      <w:r>
        <w:t xml:space="preserve">(2) Im Rahmen der Jugendhilfeplanung wird entschieden, welche der in der Anlage genannten Gruppenformen mit welcher Betreuungszeit in den Einrichtungen angeboten werden. Gruppenformen und Betreuungszeiten können kombiniert werden. Das Jugendamt hat zu gewährleisten, dass ein bedarfsentsprechendes Angebot auch für die Kinder zur Verfügung steht, deren Eltern von einem Elternbeitrag befreit sind.</w:t>
      </w:r>
    </w:p>
    <w:p>
      <w:r>
        <w:t xml:space="preserve">(3) Die Jugendhilfeplanung hat sicher zu stellen, dass der Anteil der Pauschalen für über dreijährige Kinder, die in den Gruppenformen I und III nach der Anlage mit 45 Stunden wöchentlicher Betreuungszeit betreut werden, den Anteil, den das Jugendamt in der verbindlichen Mitteilung zum 15. März des Vorjahres angemeldet hat, nicht um mehr als vier Prozentpunkte übersteigt. Darüber hinausgehende Überschreitungen kann die Oberste Landesjugendbehörde nur in besonders begründeten Einzelfällen zulassen.</w:t>
      </w:r>
    </w:p>
    <w:p>
      <w:r>
        <w:t xml:space="preserve">(4) Aus der Entscheidung der Jugendhilfeplanung ergeben sich bis zum 15. März Höhe und Anzahl der auf eine Einrichtung entfallenden Kindpauschalen (Kindpauschalenbudget). Das Jugendamt ist berechtigt, bereits bewilligte Kindpauschalen zwischen dem 15. März und dem Beginn des Kindergartenjahres im Einvernehmen mit den Trägern im Bedarfsfall auf andere Einrichtungen zu übertragen, wenn dies nicht zu einer Erhöhung des Zuschusses nach § 38 Absatz 1 führt.</w:t>
      </w:r>
    </w:p>
    <w:p>
      <w:r>
        <w:t xml:space="preserve">(5) Abweichungen zwischen den Ergebnissen der Jugendhilfeplanung und der tatsächlichen Inanspruchnahme sind bei der Festsetzung der endgültigen Zahlungen zu berücksichtigen. Bei Unterschreitungen ist die endgültige Zahlung mindestens in Höhe der Planungsgarantie gemäß § 41 festzusetzen. Das Jugendamt stellt für das am 31. Juli endende Kindergartenjahr die Ergebnisse der Abweichungen zu den Anmeldungen zum 15. März fest und meldet sie dem Landesjugendamt bis zum 30. November desselben Kalenderjahres.</w:t>
      </w:r>
    </w:p>
    <w:p>
      <w:r>
        <w:t xml:space="preserve">(6) Bei der Zuordnung der Kinder zu den Gruppenformen und der Berechnung der Pauschalen ist für das gesamte Kindergartenjahr das Alter zu Grunde zu legen, das die Kinder bis zum 1. November des begonnenen Kindergartenjahres erreicht haben werden.</w:t>
      </w:r>
    </w:p>
    <w:p>
      <w:r>
        <w:t xml:space="preserve">(7) Bis Schuleintritt werden die Kindpauschalen für eine Betreuung von schulpflichtigen Kindern auf Grundlage der vereinbarten wöchentlichen Betreuungszeit geleistet. Nach Schuleintritt werden die Kindpauschalen für die Betreuung von Kindern nur bei Betreuung in einer bestehenden Gruppe mit ausschließlich Kindern im schulpflichtigen Alter (Horte) gezahlt. Für die Betreuung von Kindern in Horten werden nur Kindpauschalen für 25 oder 35 Stunden wöchentliche Betreuungszeit gezahlt.</w:t>
      </w:r>
    </w:p>
    <w:p>
      <w:r>
        <w:rPr>
          <w:color w:val="555555"/>
          <w:sz w:val="17"/>
        </w:rPr>
        <w:t xml:space="preserve">Zitiervorschlag: § 33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