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NW_32564 (Nordrhein-Westfalen) — Wunsch- und Wahlrecht</w:t>
      </w:r>
    </w:p>
    <w:p>
      <w:r>
        <w:rPr>
          <w:color w:val="555555"/>
          <w:sz w:val="18"/>
        </w:rPr>
        <w:t xml:space="preserve">Gesetz zur frühen Bildung und Förderung von Kindern (Kinderbildungsgesetz – KiBiz) - Sechstes Gesetz zur Ausführung des Achten Buches Sozialgesetzbuch -</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Eltern haben das Recht, für die Betreuung ihrer Kinder zwischen den im Rahmen der örtlichen Jugendhilfeplanungen zur Verfügung stehenden Tagesbetreuungsangeboten zu wählen.</w:t>
      </w:r>
    </w:p>
    <w:p>
      <w:r>
        <w:t xml:space="preserve">(2) Der Wahl nach Absatz 1 soll am Ort des gewöhnlichen Aufenthaltes und auch an einem anderen Ort entsprochen werden, sofern dies nicht mit unverhältnismäßigen Mehrkosten verbunden ist. Dabei sind die Bedürfnisse von Kindern mit oder mit drohenden Behinderungen an einer wohnortnahen Betreuung in einer Kindertageseinrichtung oder in Kindertagespflege zu berücksichtigen. Bei der Feststellung der Verhältnismäßigkeit der Mehrkosten sind alle für die Wahl maßgeblichen Gründe angemessen zu berücksichtigen.</w:t>
      </w:r>
    </w:p>
    <w:p>
      <w:r>
        <w:t xml:space="preserve">(3) Der zeitliche Umfang des Betreuungsanspruchs richtet sich nach dem individuellen Bedarf. Die Eltern haben das Recht, die Betreuungszeit für ihre Kinder entsprechend ihrem Bedarf und im Rahmen dieses Gesetzes zu wählen.</w:t>
      </w:r>
    </w:p>
    <w:p>
      <w:r>
        <w:rPr>
          <w:color w:val="555555"/>
          <w:sz w:val="17"/>
        </w:rPr>
        <w:t xml:space="preserve">Zitiervorschlag: § 3 NW_32564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https://recht.nulegal.eu/gesetze/NW_32564/3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