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NW_32564 (Nordrhein-Westfalen) — Träger von Kindertageseinrichtungen</w:t>
      </w:r>
    </w:p>
    <w:p>
      <w:r>
        <w:rPr>
          <w:color w:val="555555"/>
          <w:sz w:val="18"/>
        </w:rPr>
        <w:t xml:space="preserve">Gesetz zur frühen Bildung und Förderung von Kindern (Kinderbildungsgesetz – KiBiz) - Sechstes Gesetz zur Ausführung des Achten Buches Sozialgesetzbuch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Träger einer Kindertageseinrichtung sind die anerkannten Träger der freien Jugendhilfe, Jugendämter und die sonstigen kreisangehörigen Gemeinden sowie Gemeindeverbände.</w:t>
      </w:r>
    </w:p>
    <w:p>
      <w:r>
        <w:t xml:space="preserve">(2) Träger einer Kindertageseinrichtung können auch andere Träger, zum Beispiel Unternehmen, privatgewerbliche Träger und nicht anerkannte Träger der freien Jugendhilfe, sein.</w:t>
      </w:r>
    </w:p>
    <w:p>
      <w:r>
        <w:rPr>
          <w:color w:val="555555"/>
          <w:sz w:val="17"/>
        </w:rPr>
        <w:t xml:space="preserve">Zitiervorschlag: § 25 NW_32564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https://recht.nulegal.eu/gesetze/NW_32564/25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