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NW_32564 (Nordrhein-Westfalen) — Beobachtung und Dokumentation</w:t>
      </w:r>
    </w:p>
    <w:p>
      <w:r>
        <w:rPr>
          <w:color w:val="555555"/>
          <w:sz w:val="18"/>
        </w:rPr>
        <w:t xml:space="preserve">Gesetz zur frühen Bildung und Förderung von Kindern (Kinderbildungsgesetz – KiBiz) - Sechstes Gesetz zur Ausführung des Achten Buches Sozialgesetzbuch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Grundlage der Erfüllung des Bildungs- und Erziehungsauftrages, insbesondere der individuellen stärkenorientierten ganzheitlichen Förderung eines jeden Kindes ist eine regelmäßige alltagsintegrierte wahrnehmende Beobachtung des Kindes. Diese ist auch auf seine Möglichkeiten und auf die individuelle Vielfalt seiner Handlungen, Vorstellungen, Ideen, Werke und Problemlösungen gerichtet. Die Beobachtung und Auswertung mündet in die regelmäßige Dokumentation des Entwicklungs- und Bildungsprozesses des Kindes (Entwicklungs- und Bildungsdokumentation). Nach einem umfassenden Aufnahmegespräch mit den Eltern und einer Eingewöhnungsphase, spätestens aber sechs Monate nach Aufnahme des Kindes in die Kindertageseinrichtung, erfolgt eine erste Dokumentation. Entsprechendes ist für die Förderung in Kindertagespflege anzustreben. Die Entwicklungs- und Bildungsdokumentation setzt die schriftliche Zustimmung der Eltern voraus.</w:t>
      </w:r>
    </w:p>
    <w:p>
      <w:r>
        <w:t xml:space="preserve">(2) Die Entwicklungs- und Bildungsdokumentation ist auch Gegenstand von Entwicklungsgesprächen mit den Eltern. Wenn die Eltern in zeitlicher Nähe zur Informationsweitergabe schriftlich zugestimmt haben, wird sie den Grundschulen zur Einsichtnahme zur Verfügung gestellt und von den Lehrkräften des Primarbereichs in die weitere individuelle Förderung einbezogen. Die Eltern sind dabei darauf hinzuweisen, dass sie ihre Einwilligung zur Weiterleitung der Dokumentation an eine Grundschule datenschutzrechtlich jederzeit widerrufen können. Endet die Betreuung des Kindes, wird die Entwicklungs- und Bildungsdokumentation den Eltern ausgehändigt.</w:t>
      </w:r>
    </w:p>
    <w:p>
      <w:r>
        <w:rPr>
          <w:color w:val="555555"/>
          <w:sz w:val="17"/>
        </w:rPr>
        <w:t xml:space="preserve">Zitiervorschlag: § 18 NW_32564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https://recht.nulegal.eu/gesetze/NW_32564/18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