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NW_32564 (Nordrhein-Westfalen) — Pädagogische Konzeption</w:t>
      </w:r>
    </w:p>
    <w:p>
      <w:r>
        <w:rPr>
          <w:color w:val="555555"/>
          <w:sz w:val="18"/>
        </w:rPr>
        <w:t xml:space="preserve">Gesetz zur frühen Bildung und Förderung von Kindern (Kinderbildungsgesetz – KiBiz) - Sechstes Gesetz zur Ausführung des Achten Buches Sozialgesetzbuch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Tageseinrichtungen und die Kindertagespflege führen die Bildung, Erziehung und Betreuung nach einer eigenen pädagogischen Konzeption durch. Diese Konzeption muss Ausführungen zur Eingewöhnungsphase, zur Bildungsförderung, insbesondere zur sprachlichen und motorischen Förderung, zur Sicherung der Rechte der Kinder, zu Maßnahmen der Qualitätsentwicklung und -sicherung und zur Erziehungspartnerschaft mit den Eltern enthalten.</w:t>
      </w:r>
    </w:p>
    <w:p>
      <w:r>
        <w:t xml:space="preserve">(2) Die pädagogische Arbeit orientiert sich an den Grundsätzen zur Bildungsförderung für Kinder.</w:t>
      </w:r>
    </w:p>
    <w:p>
      <w:r>
        <w:rPr>
          <w:color w:val="555555"/>
          <w:sz w:val="17"/>
        </w:rPr>
        <w:t xml:space="preserve">Zitiervorschlag: § 17 NW_32564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https://recht.nulegal.eu/gesetze/NW_32564/17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